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0A4AB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275E3E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="00275E3E">
        <w:rPr>
          <w:color w:val="000000" w:themeColor="text1"/>
          <w:sz w:val="28"/>
          <w:szCs w:val="28"/>
        </w:rPr>
        <w:t>%) ребенок получил</w:t>
      </w:r>
      <w:r w:rsidRPr="00FC676E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>Дорожно-транспортные происшествия, в результате которых пострадали дети, составили</w:t>
      </w:r>
      <w:r w:rsidR="00275E3E">
        <w:rPr>
          <w:sz w:val="28"/>
          <w:szCs w:val="28"/>
        </w:rPr>
        <w:t xml:space="preserve"> </w:t>
      </w:r>
      <w:r w:rsidRPr="00B37053">
        <w:rPr>
          <w:sz w:val="28"/>
          <w:szCs w:val="28"/>
        </w:rPr>
        <w:t xml:space="preserve">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 xml:space="preserve">% </w:t>
      </w:r>
      <w:r w:rsidR="00275E3E">
        <w:rPr>
          <w:sz w:val="28"/>
          <w:szCs w:val="28"/>
        </w:rPr>
        <w:t xml:space="preserve"> </w:t>
      </w:r>
      <w:r w:rsidRPr="00B37053">
        <w:rPr>
          <w:sz w:val="28"/>
          <w:szCs w:val="28"/>
        </w:rPr>
        <w:t>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="00275E3E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275E3E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Ивделе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 с. Рыбниковское,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«Митсубиси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="00275E3E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="00275E3E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="00275E3E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07.02.2021 года около 10.00 часов в Ивдельском районе на 116 км автодороги Ивдель-ХМАО водитель автомобиля «Тойота ЛендКрузер»,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, допустил столкновение с автомобилем «Киа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«Киа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</w:t>
      </w:r>
      <w:r w:rsidR="00275E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60D04">
        <w:rPr>
          <w:rFonts w:ascii="Times New Roman" w:hAnsi="Times New Roman" w:cs="Times New Roman"/>
          <w:i/>
          <w:sz w:val="27"/>
          <w:szCs w:val="27"/>
        </w:rPr>
        <w:t>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«Киа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275E3E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 w:rsidRPr="00AD2C42">
        <w:rPr>
          <w:sz w:val="28"/>
          <w:szCs w:val="28"/>
        </w:rPr>
        <w:t>увеличилось количество ДТП</w:t>
      </w:r>
      <w:r w:rsidR="00275E3E">
        <w:rPr>
          <w:sz w:val="28"/>
          <w:szCs w:val="28"/>
        </w:rPr>
        <w:t xml:space="preserve"> в 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Ивделе, Краснотурьинске, Невьянске, р.п.Пышма,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>)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>и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</w:t>
      </w:r>
      <w:r w:rsidR="00275E3E">
        <w:rPr>
          <w:color w:val="000000" w:themeColor="text1"/>
          <w:sz w:val="28"/>
          <w:szCs w:val="28"/>
        </w:rPr>
        <w:t>у транспортных средств увеличивается тормозной и остановочный путь.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>,</w:t>
      </w:r>
      <w:r w:rsidR="00275E3E">
        <w:rPr>
          <w:color w:val="000000" w:themeColor="text1"/>
          <w:sz w:val="28"/>
          <w:szCs w:val="28"/>
        </w:rPr>
        <w:t xml:space="preserve"> </w:t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>), когда дети возвращаются домой из образовательных организаций, учреждений дополнительного образования, находятся на улице и проезжей части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668E5">
        <w:rPr>
          <w:color w:val="000000" w:themeColor="text1"/>
          <w:sz w:val="28"/>
          <w:szCs w:val="28"/>
        </w:rPr>
        <w:t>без сопровождения взрослых.</w:t>
      </w:r>
      <w:bookmarkStart w:id="0" w:name="_GoBack"/>
      <w:r w:rsidR="00275E3E">
        <w:rPr>
          <w:color w:val="000000" w:themeColor="text1"/>
          <w:sz w:val="28"/>
          <w:szCs w:val="28"/>
        </w:rPr>
        <w:t xml:space="preserve"> </w:t>
      </w:r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  <w:bookmarkEnd w:id="0"/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275E3E">
        <w:rPr>
          <w:color w:val="000000" w:themeColor="text1"/>
          <w:sz w:val="28"/>
          <w:szCs w:val="28"/>
        </w:rPr>
        <w:t>.</w:t>
      </w:r>
    </w:p>
    <w:p w:rsidR="00FF18AF" w:rsidRPr="00690FA7" w:rsidRDefault="00FF18AF" w:rsidP="00275E3E">
      <w:pPr>
        <w:ind w:left="-709" w:firstLine="709"/>
        <w:jc w:val="both"/>
        <w:rPr>
          <w:color w:val="FF0000"/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 xml:space="preserve">детей </w:t>
      </w:r>
      <w:r w:rsidR="00275E3E">
        <w:rPr>
          <w:b/>
          <w:i/>
          <w:noProof/>
          <w:sz w:val="28"/>
          <w:szCs w:val="28"/>
        </w:rPr>
        <w:t>–</w:t>
      </w:r>
      <w:r w:rsidRPr="00596533">
        <w:rPr>
          <w:b/>
          <w:i/>
          <w:noProof/>
          <w:sz w:val="28"/>
          <w:szCs w:val="28"/>
        </w:rPr>
        <w:t xml:space="preserve"> пассажиров</w:t>
      </w:r>
      <w:r w:rsidR="00275E3E">
        <w:rPr>
          <w:b/>
          <w:i/>
          <w:noProof/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 xml:space="preserve">17,2%) ДТП, в которых </w:t>
      </w:r>
      <w:r w:rsidR="00275E3E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пострадал</w:t>
      </w:r>
      <w:r w:rsidR="00275E3E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Pr="009F4997">
        <w:rPr>
          <w:sz w:val="28"/>
          <w:szCs w:val="28"/>
        </w:rPr>
        <w:t>. Из них</w:t>
      </w:r>
      <w:r w:rsidR="00275E3E">
        <w:rPr>
          <w:sz w:val="28"/>
          <w:szCs w:val="28"/>
        </w:rPr>
        <w:t xml:space="preserve">, </w:t>
      </w:r>
      <w:r w:rsidRPr="009F4997">
        <w:rPr>
          <w:sz w:val="28"/>
          <w:szCs w:val="28"/>
        </w:rPr>
        <w:t xml:space="preserve"> в</w:t>
      </w:r>
      <w:r w:rsidR="00275E3E">
        <w:rPr>
          <w:sz w:val="28"/>
          <w:szCs w:val="28"/>
        </w:rPr>
        <w:t xml:space="preserve"> возрасте до 12 лет травмировано</w:t>
      </w:r>
      <w:r w:rsidRPr="009F4997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18</w:t>
      </w:r>
      <w:r w:rsidR="00275E3E">
        <w:rPr>
          <w:sz w:val="28"/>
          <w:szCs w:val="28"/>
        </w:rPr>
        <w:t xml:space="preserve"> 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</w:t>
      </w:r>
      <w:r w:rsidR="00275E3E">
        <w:rPr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2</w:t>
      </w:r>
      <w:r w:rsidR="00275E3E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котор</w:t>
      </w:r>
      <w:r w:rsidR="00AE08E5">
        <w:rPr>
          <w:sz w:val="28"/>
          <w:szCs w:val="28"/>
        </w:rPr>
        <w:t>ых</w:t>
      </w:r>
      <w:r w:rsidR="00862608">
        <w:rPr>
          <w:sz w:val="28"/>
          <w:szCs w:val="28"/>
        </w:rPr>
        <w:t>травмированы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275E3E">
        <w:rPr>
          <w:sz w:val="28"/>
          <w:szCs w:val="28"/>
        </w:rPr>
        <w:t>(</w:t>
      </w:r>
      <w:r w:rsidR="00B76B76" w:rsidRPr="00275E3E">
        <w:rPr>
          <w:sz w:val="28"/>
          <w:szCs w:val="28"/>
        </w:rPr>
        <w:t>3</w:t>
      </w:r>
      <w:r w:rsidR="00792C5F" w:rsidRPr="00275E3E">
        <w:rPr>
          <w:sz w:val="28"/>
          <w:szCs w:val="28"/>
        </w:rPr>
        <w:t>;</w:t>
      </w:r>
      <w:r w:rsidR="00792C5F" w:rsidRPr="00862608">
        <w:rPr>
          <w:color w:val="FF0000"/>
          <w:sz w:val="28"/>
          <w:szCs w:val="28"/>
        </w:rPr>
        <w:t xml:space="preserve">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275E3E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Арт</w:t>
      </w:r>
      <w:r w:rsidR="00814B66">
        <w:rPr>
          <w:color w:val="000000" w:themeColor="text1"/>
          <w:sz w:val="28"/>
          <w:szCs w:val="28"/>
        </w:rPr>
        <w:t>ях</w:t>
      </w:r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</w:t>
      </w:r>
      <w:r w:rsidR="00D85B27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 xml:space="preserve">и </w:t>
      </w:r>
      <w:r w:rsidR="00D85B27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>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>е Н.Тагила</w:t>
      </w:r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="00D85B27">
        <w:rPr>
          <w:color w:val="000000" w:themeColor="text1"/>
          <w:sz w:val="28"/>
          <w:szCs w:val="28"/>
        </w:rPr>
        <w:t xml:space="preserve"> 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D85B27">
        <w:rPr>
          <w:sz w:val="28"/>
          <w:szCs w:val="28"/>
        </w:rPr>
        <w:t xml:space="preserve"> 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</w:t>
      </w:r>
      <w:r w:rsidR="00D85B27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5B27" w:rsidRPr="004F7809" w:rsidRDefault="00D85B27" w:rsidP="007548A7">
      <w:pPr>
        <w:ind w:left="-709" w:firstLine="720"/>
        <w:jc w:val="center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="00D85B27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>Подавляющее большинство происшествий произошло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 xml:space="preserve"> из-за 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грубых нарушений ПДД РФ водителями транспортных средств (</w:t>
      </w:r>
      <w:r w:rsidR="00D85B27">
        <w:rPr>
          <w:color w:val="000000" w:themeColor="text1"/>
          <w:sz w:val="28"/>
          <w:szCs w:val="28"/>
        </w:rPr>
        <w:t>неправильный выбор безопасной скорости</w:t>
      </w:r>
      <w:r w:rsidRPr="00D4277D">
        <w:rPr>
          <w:color w:val="000000" w:themeColor="text1"/>
          <w:sz w:val="28"/>
          <w:szCs w:val="28"/>
        </w:rPr>
        <w:t xml:space="preserve">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 xml:space="preserve">,Каменск-Уральский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lastRenderedPageBreak/>
        <w:t>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</w:t>
      </w:r>
      <w:r w:rsidR="00D85B27">
        <w:rPr>
          <w:color w:val="000000" w:themeColor="text1"/>
          <w:sz w:val="28"/>
          <w:szCs w:val="28"/>
        </w:rPr>
        <w:t xml:space="preserve"> </w:t>
      </w:r>
      <w:r w:rsidR="00D4277D">
        <w:rPr>
          <w:color w:val="000000" w:themeColor="text1"/>
          <w:sz w:val="28"/>
          <w:szCs w:val="28"/>
        </w:rPr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85B27" w:rsidRDefault="00D85B27" w:rsidP="007548A7">
      <w:pPr>
        <w:ind w:left="-709"/>
        <w:jc w:val="both"/>
        <w:rPr>
          <w:i/>
          <w:sz w:val="28"/>
          <w:szCs w:val="28"/>
        </w:rPr>
      </w:pPr>
    </w:p>
    <w:p w:rsidR="00D85B27" w:rsidRDefault="00D85B27" w:rsidP="007548A7">
      <w:pPr>
        <w:ind w:left="-709"/>
        <w:jc w:val="both"/>
        <w:rPr>
          <w:i/>
          <w:sz w:val="28"/>
          <w:szCs w:val="28"/>
        </w:rPr>
      </w:pPr>
    </w:p>
    <w:p w:rsidR="00D85B27" w:rsidRDefault="00D85B27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58" w:rsidRDefault="000F0958" w:rsidP="00874A55">
      <w:r>
        <w:separator/>
      </w:r>
    </w:p>
  </w:endnote>
  <w:endnote w:type="continuationSeparator" w:id="1">
    <w:p w:rsidR="000F0958" w:rsidRDefault="000F095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58" w:rsidRDefault="000F0958" w:rsidP="00874A55">
      <w:r>
        <w:separator/>
      </w:r>
    </w:p>
  </w:footnote>
  <w:footnote w:type="continuationSeparator" w:id="1">
    <w:p w:rsidR="000F0958" w:rsidRDefault="000F095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761EE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6C3BC8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4AB3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0958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75E3E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0AF3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3BC8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1EE7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5B27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shape val="box"/>
        <c:axId val="121203712"/>
        <c:axId val="121225984"/>
        <c:axId val="0"/>
      </c:bar3DChart>
      <c:catAx>
        <c:axId val="121203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225984"/>
        <c:crosses val="autoZero"/>
        <c:auto val="1"/>
        <c:lblAlgn val="ctr"/>
        <c:lblOffset val="100"/>
      </c:catAx>
      <c:valAx>
        <c:axId val="121225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20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8"/>
                  <c:y val="-6.169551141132737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25E-2"/>
                  <c:y val="-9.10454721078650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gapWidth val="182"/>
        <c:axId val="64813696"/>
        <c:axId val="64631168"/>
      </c:barChart>
      <c:catAx>
        <c:axId val="64813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31168"/>
        <c:crosses val="autoZero"/>
        <c:auto val="1"/>
        <c:lblAlgn val="ctr"/>
        <c:lblOffset val="100"/>
      </c:catAx>
      <c:valAx>
        <c:axId val="64631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1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07E-2"/>
                  <c:y val="4.62427745664739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19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383227693807893"/>
                  <c:y val="0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gapWidth val="100"/>
        <c:axId val="121404416"/>
        <c:axId val="121402880"/>
      </c:barChart>
      <c:valAx>
        <c:axId val="1214028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04416"/>
        <c:crosses val="autoZero"/>
        <c:crossBetween val="between"/>
      </c:valAx>
      <c:catAx>
        <c:axId val="1214044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028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21635200"/>
        <c:axId val="121636736"/>
      </c:barChart>
      <c:catAx>
        <c:axId val="121635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636736"/>
        <c:crosses val="autoZero"/>
        <c:auto val="1"/>
        <c:lblAlgn val="ctr"/>
        <c:lblOffset val="100"/>
      </c:catAx>
      <c:valAx>
        <c:axId val="121636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63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23642240"/>
        <c:axId val="123643776"/>
      </c:barChart>
      <c:catAx>
        <c:axId val="12364224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643776"/>
        <c:crosses val="autoZero"/>
        <c:auto val="1"/>
        <c:lblAlgn val="ctr"/>
        <c:lblOffset val="100"/>
        <c:tickLblSkip val="1"/>
      </c:catAx>
      <c:valAx>
        <c:axId val="12364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64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axId val="123654528"/>
        <c:axId val="123656064"/>
      </c:barChart>
      <c:catAx>
        <c:axId val="123654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656064"/>
        <c:crosses val="autoZero"/>
        <c:auto val="1"/>
        <c:lblAlgn val="ctr"/>
        <c:lblOffset val="100"/>
      </c:catAx>
      <c:valAx>
        <c:axId val="123656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6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67D5-A710-4F6A-BE20-F84AEF02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2021-03-11T06:06:00Z</cp:lastPrinted>
  <dcterms:created xsi:type="dcterms:W3CDTF">2021-03-16T09:03:00Z</dcterms:created>
  <dcterms:modified xsi:type="dcterms:W3CDTF">2021-03-16T09:28:00Z</dcterms:modified>
</cp:coreProperties>
</file>